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3F" w:rsidRPr="00B95B2D" w:rsidRDefault="0073703F" w:rsidP="00F262AD">
      <w:pPr>
        <w:jc w:val="center"/>
        <w:rPr>
          <w:b/>
          <w:sz w:val="28"/>
          <w:szCs w:val="28"/>
        </w:rPr>
      </w:pPr>
      <w:r w:rsidRPr="00B95B2D">
        <w:rPr>
          <w:b/>
          <w:sz w:val="28"/>
          <w:szCs w:val="28"/>
        </w:rPr>
        <w:t>TEKNİK ŞARTNAME</w:t>
      </w:r>
    </w:p>
    <w:p w:rsidR="0073703F" w:rsidRDefault="0073703F" w:rsidP="00F262AD">
      <w:pPr>
        <w:jc w:val="both"/>
      </w:pPr>
    </w:p>
    <w:p w:rsidR="008C5C0B" w:rsidRPr="00B95B2D" w:rsidRDefault="008C5C0B" w:rsidP="00F262AD">
      <w:pPr>
        <w:jc w:val="both"/>
        <w:rPr>
          <w:b/>
        </w:rPr>
      </w:pPr>
      <w:r w:rsidRPr="00B95B2D">
        <w:rPr>
          <w:b/>
        </w:rPr>
        <w:t>AÇIKLAMA</w:t>
      </w:r>
    </w:p>
    <w:p w:rsidR="008C5C0B" w:rsidRDefault="008C5C0B" w:rsidP="00F262AD">
      <w:pPr>
        <w:jc w:val="both"/>
      </w:pPr>
      <w:r>
        <w:t>İstanbul Bilgi Üniversitesi Yayınları,</w:t>
      </w:r>
      <w:bookmarkStart w:id="0" w:name="_GoBack"/>
      <w:bookmarkEnd w:id="0"/>
      <w:r>
        <w:t xml:space="preserve"> 19 sene önce tasarlanmış </w:t>
      </w:r>
      <w:r w:rsidR="008E2035">
        <w:t xml:space="preserve">tasarım, uygulama ve kapak formatlarını kullanmaktadır. Bu formatlarda ana metin, dipnot, kaynakça, dizin, resimaltı gibi alanlarda kullanılan fontlar ve buna bağlı olarak </w:t>
      </w:r>
      <w:r w:rsidR="008E2035" w:rsidRPr="00F262AD">
        <w:rPr>
          <w:b/>
        </w:rPr>
        <w:t>espaslar, paragraf başları, gömme satırlar, alıntılar, tablolar, şekiller, grafikler, ara kapaklar ve tüm görsel malzemelerin yerleştirilmesi</w:t>
      </w:r>
      <w:r w:rsidR="008E2035">
        <w:t xml:space="preserve"> İstanbul Bilgi Üniversitesi Yayınları standartlarına göre olmaktadır.</w:t>
      </w:r>
    </w:p>
    <w:p w:rsidR="008E2035" w:rsidRDefault="008E2035" w:rsidP="00F262AD">
      <w:pPr>
        <w:jc w:val="both"/>
      </w:pPr>
      <w:r>
        <w:t>Buna göre, talip olan firmaların bu bilinci de şiar edinerek, akademik yayıncılığın getirdiği sorumlulukları da bilerek</w:t>
      </w:r>
      <w:r w:rsidR="004F08BA">
        <w:t>, istisnai koşullar dışında,</w:t>
      </w:r>
      <w:r>
        <w:t xml:space="preserve"> formatlara sadık kalması gerekmektedir.</w:t>
      </w:r>
      <w:r w:rsidR="004F08BA">
        <w:t xml:space="preserve"> </w:t>
      </w:r>
    </w:p>
    <w:p w:rsidR="0073703F" w:rsidRPr="00B95B2D" w:rsidRDefault="0073703F" w:rsidP="00F262AD">
      <w:pPr>
        <w:jc w:val="both"/>
        <w:rPr>
          <w:b/>
        </w:rPr>
      </w:pPr>
      <w:r w:rsidRPr="00B95B2D">
        <w:rPr>
          <w:b/>
        </w:rPr>
        <w:t>TEKNİK DETAYLAR</w:t>
      </w:r>
    </w:p>
    <w:p w:rsidR="0073703F" w:rsidRDefault="0073703F" w:rsidP="00F262AD">
      <w:pPr>
        <w:pStyle w:val="ListParagraph"/>
        <w:numPr>
          <w:ilvl w:val="0"/>
          <w:numId w:val="2"/>
        </w:numPr>
        <w:jc w:val="both"/>
      </w:pPr>
      <w:r>
        <w:t xml:space="preserve">İstanbul Bilgi Üniversitesi Yayınları altında çıkan eserlerin </w:t>
      </w:r>
      <w:r w:rsidRPr="00F262AD">
        <w:rPr>
          <w:b/>
        </w:rPr>
        <w:t xml:space="preserve">dizgi, </w:t>
      </w:r>
      <w:proofErr w:type="gramStart"/>
      <w:r w:rsidRPr="00F262AD">
        <w:rPr>
          <w:b/>
        </w:rPr>
        <w:t>mizanpaj</w:t>
      </w:r>
      <w:proofErr w:type="gramEnd"/>
      <w:r w:rsidRPr="00F262AD">
        <w:rPr>
          <w:b/>
        </w:rPr>
        <w:t xml:space="preserve">, </w:t>
      </w:r>
      <w:r w:rsidR="007C39B2" w:rsidRPr="00F262AD">
        <w:rPr>
          <w:b/>
        </w:rPr>
        <w:t>uygulama, tashih işleme</w:t>
      </w:r>
      <w:r>
        <w:t xml:space="preserve"> işlerinin tümünün sağlanması gerekmektedir. </w:t>
      </w:r>
      <w:r w:rsidR="00171156">
        <w:t>Bunlar yayınevi tarafından belirlenmiş standartlara bağlı kalmalıdır.</w:t>
      </w:r>
    </w:p>
    <w:p w:rsidR="004F08BA" w:rsidRDefault="004F08BA" w:rsidP="00F262AD">
      <w:pPr>
        <w:pStyle w:val="ListParagraph"/>
        <w:numPr>
          <w:ilvl w:val="0"/>
          <w:numId w:val="2"/>
        </w:numPr>
        <w:jc w:val="both"/>
      </w:pPr>
      <w:r>
        <w:t xml:space="preserve">Çoğunluğu Türkçe olan yayınlarımız arasında önemli oranda </w:t>
      </w:r>
      <w:r w:rsidRPr="00F262AD">
        <w:rPr>
          <w:b/>
        </w:rPr>
        <w:t>İngilizce</w:t>
      </w:r>
      <w:r>
        <w:t xml:space="preserve"> eser de yer almaktadır. Bu vesileyle dizgi, mizanpaj, uygulama, tashih işleme işlemlerinin </w:t>
      </w:r>
      <w:r w:rsidRPr="00F262AD">
        <w:rPr>
          <w:b/>
        </w:rPr>
        <w:t>İngilizce başta olmak üzere diğer dillerde</w:t>
      </w:r>
      <w:r>
        <w:t xml:space="preserve"> de yapabilme koşulu vardır.</w:t>
      </w:r>
    </w:p>
    <w:p w:rsidR="00815461" w:rsidRDefault="00815461" w:rsidP="00F262AD">
      <w:pPr>
        <w:pStyle w:val="ListParagraph"/>
        <w:numPr>
          <w:ilvl w:val="0"/>
          <w:numId w:val="2"/>
        </w:numPr>
        <w:jc w:val="both"/>
      </w:pPr>
      <w:r>
        <w:t xml:space="preserve">Bazı araştırmalarda farklı dillerle birlikte farklı alfabeler de önemli oranda yer almaktadır. </w:t>
      </w:r>
      <w:r w:rsidRPr="00F262AD">
        <w:rPr>
          <w:b/>
        </w:rPr>
        <w:t>Arap Alfabesi, Japon Alfabesi, Yunan Alfabesi</w:t>
      </w:r>
      <w:r w:rsidR="006D4E5E">
        <w:rPr>
          <w:b/>
        </w:rPr>
        <w:t>, Kiril Alfabesi</w:t>
      </w:r>
      <w:r>
        <w:t xml:space="preserve"> gibi alfabelerin dizgilerine de hakim olunmalıdır.</w:t>
      </w:r>
    </w:p>
    <w:p w:rsidR="00A37672" w:rsidRDefault="00A37672" w:rsidP="00F262AD">
      <w:pPr>
        <w:pStyle w:val="ListParagraph"/>
        <w:numPr>
          <w:ilvl w:val="0"/>
          <w:numId w:val="2"/>
        </w:numPr>
        <w:jc w:val="both"/>
      </w:pPr>
      <w:r>
        <w:t>Eserlerimizin dizgi, mizanpaj, uygulama ve tashih işleri için şu programlara sahip ve yetkin olmak elzemdir: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Son 10 sene içindeki ve gelecekteki eserler için </w:t>
      </w:r>
      <w:r w:rsidRPr="00A37672">
        <w:rPr>
          <w:b/>
        </w:rPr>
        <w:t>Adobe Indesign, Adobe Photoshop, Adobe Illustrator, Adobe Acrobat, Adobe Enfocus Pitstop.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2010 ve öncesi eserlerimiz için </w:t>
      </w:r>
      <w:r w:rsidRPr="00A37672">
        <w:rPr>
          <w:b/>
        </w:rPr>
        <w:t>Freehand</w:t>
      </w:r>
      <w:r>
        <w:t xml:space="preserve"> ve </w:t>
      </w:r>
      <w:r w:rsidRPr="00A37672">
        <w:rPr>
          <w:b/>
        </w:rPr>
        <w:t>Quark Express</w:t>
      </w:r>
      <w:r>
        <w:t>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Farklı dil ve alfabeler için </w:t>
      </w:r>
      <w:r w:rsidRPr="00A37672">
        <w:rPr>
          <w:b/>
        </w:rPr>
        <w:t>Fontlab</w:t>
      </w:r>
      <w:r>
        <w:t xml:space="preserve"> (ve ayrıca font tasarlama yetkinliği).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Matematiksel işlemler için </w:t>
      </w:r>
      <w:r w:rsidRPr="00A37672">
        <w:rPr>
          <w:b/>
        </w:rPr>
        <w:t>MathType</w:t>
      </w:r>
      <w:r>
        <w:t xml:space="preserve"> ve/veya </w:t>
      </w:r>
      <w:r w:rsidRPr="00A37672">
        <w:rPr>
          <w:b/>
        </w:rPr>
        <w:t>MathMagic</w:t>
      </w:r>
      <w:r>
        <w:t>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Sinema, tiyatro, vb. eserler için </w:t>
      </w:r>
      <w:r w:rsidRPr="00A37672">
        <w:rPr>
          <w:b/>
        </w:rPr>
        <w:t>Adobe Encore</w:t>
      </w:r>
      <w:r>
        <w:t xml:space="preserve"> ve </w:t>
      </w:r>
      <w:r w:rsidRPr="00A37672">
        <w:rPr>
          <w:b/>
        </w:rPr>
        <w:t>Adobe Premier</w:t>
      </w:r>
      <w:r>
        <w:t>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Renkli eserler için </w:t>
      </w:r>
      <w:r w:rsidRPr="00A37672">
        <w:rPr>
          <w:b/>
        </w:rPr>
        <w:t>UV ve Vernik formaları</w:t>
      </w:r>
      <w:r>
        <w:t xml:space="preserve"> hazırlama yetkinliği.</w:t>
      </w:r>
    </w:p>
    <w:p w:rsidR="00A37672" w:rsidRDefault="00A37672" w:rsidP="00A37672">
      <w:pPr>
        <w:pStyle w:val="ListParagraph"/>
        <w:numPr>
          <w:ilvl w:val="0"/>
          <w:numId w:val="4"/>
        </w:numPr>
        <w:jc w:val="both"/>
      </w:pPr>
      <w:r>
        <w:t xml:space="preserve">Baskı ve çevrimiçi farkları nedeniyle </w:t>
      </w:r>
      <w:r w:rsidRPr="00A37672">
        <w:rPr>
          <w:b/>
        </w:rPr>
        <w:t>Pantone</w:t>
      </w:r>
      <w:r>
        <w:t xml:space="preserve"> bilgisi ve yetkinliği.</w:t>
      </w:r>
    </w:p>
    <w:p w:rsidR="00752AB6" w:rsidRDefault="0073703F" w:rsidP="00752AB6">
      <w:pPr>
        <w:pStyle w:val="ListParagraph"/>
        <w:numPr>
          <w:ilvl w:val="0"/>
          <w:numId w:val="2"/>
        </w:numPr>
        <w:jc w:val="both"/>
      </w:pPr>
      <w:r>
        <w:t xml:space="preserve">Eserlerimizin hepsi </w:t>
      </w:r>
      <w:r w:rsidRPr="00F262AD">
        <w:rPr>
          <w:b/>
        </w:rPr>
        <w:t>dipnotlu</w:t>
      </w:r>
      <w:r>
        <w:t xml:space="preserve"> olduğu için, burada ince ayarlar olduğu unutulmamalı ve fiyatlandırma buna göre yapılmalıdır. Eklenecek dipnot sayısına göre fiyatlandırmada değişiklik kabul edilemez. Fiyatlandırma sayfa başına verilmelidir.</w:t>
      </w:r>
    </w:p>
    <w:p w:rsidR="007C39B2" w:rsidRDefault="008641D1" w:rsidP="00F262AD">
      <w:pPr>
        <w:pStyle w:val="ListParagraph"/>
        <w:numPr>
          <w:ilvl w:val="0"/>
          <w:numId w:val="2"/>
        </w:numPr>
        <w:jc w:val="both"/>
      </w:pPr>
      <w:r>
        <w:t>Eserlerimiz yayına hazırlanana kadar</w:t>
      </w:r>
      <w:r w:rsidR="007C39B2">
        <w:t xml:space="preserve"> </w:t>
      </w:r>
      <w:r>
        <w:t xml:space="preserve">yazar, editör, redaktör ve çevirmenden bir veya birden fazla </w:t>
      </w:r>
      <w:r w:rsidRPr="00F262AD">
        <w:rPr>
          <w:b/>
        </w:rPr>
        <w:t xml:space="preserve">tashih </w:t>
      </w:r>
      <w:r w:rsidR="00F262AD" w:rsidRPr="00F262AD">
        <w:rPr>
          <w:b/>
        </w:rPr>
        <w:t xml:space="preserve">gelebilmekte ve bu düzeltilerin </w:t>
      </w:r>
      <w:r w:rsidRPr="00F262AD">
        <w:rPr>
          <w:b/>
        </w:rPr>
        <w:t xml:space="preserve">toplama işi </w:t>
      </w:r>
      <w:r>
        <w:t xml:space="preserve">olabilmektedir. Yapılacak tashih </w:t>
      </w:r>
      <w:r w:rsidR="00F262AD">
        <w:t xml:space="preserve">sayfa başına fiyata dahildir ve </w:t>
      </w:r>
      <w:r>
        <w:t>oranına göre fiyatlandırmada değişiklik kabul edilemez. Fiyatlandırma sayfa başına verilmelidir.</w:t>
      </w:r>
    </w:p>
    <w:p w:rsidR="00B34973" w:rsidRDefault="00B34973" w:rsidP="00F262AD">
      <w:pPr>
        <w:pStyle w:val="ListParagraph"/>
        <w:numPr>
          <w:ilvl w:val="0"/>
          <w:numId w:val="2"/>
        </w:numPr>
        <w:jc w:val="both"/>
      </w:pPr>
      <w:r>
        <w:t xml:space="preserve">Eserin dizgi, mizanpaj, uygulama, tashih toplama işleri tamamlandıktan sonra </w:t>
      </w:r>
      <w:r w:rsidRPr="00F262AD">
        <w:rPr>
          <w:b/>
        </w:rPr>
        <w:t>matbaaya gönderilirken forma montajı dahil sorumluluk</w:t>
      </w:r>
      <w:r>
        <w:t xml:space="preserve"> firmaya aittir.</w:t>
      </w:r>
    </w:p>
    <w:p w:rsidR="008641D1" w:rsidRDefault="008641D1" w:rsidP="00F262AD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Firmanın </w:t>
      </w:r>
      <w:r w:rsidRPr="00F262AD">
        <w:rPr>
          <w:b/>
        </w:rPr>
        <w:t>renk ayrımı</w:t>
      </w:r>
      <w:r>
        <w:t xml:space="preserve"> tecrübesi olmalı ve baskıdaki tonunu kağıt cinsine göre önceden değerlendirebilmesi gerekmektedir. </w:t>
      </w:r>
      <w:r w:rsidRPr="00F262AD">
        <w:rPr>
          <w:b/>
        </w:rPr>
        <w:t>İki veya dört renkli kitaplarda matbaa takibinden sorumludur</w:t>
      </w:r>
      <w:r>
        <w:t>.</w:t>
      </w:r>
    </w:p>
    <w:p w:rsidR="00B34973" w:rsidRDefault="00B34973" w:rsidP="00F262AD">
      <w:pPr>
        <w:pStyle w:val="ListParagraph"/>
        <w:numPr>
          <w:ilvl w:val="0"/>
          <w:numId w:val="2"/>
        </w:numPr>
        <w:jc w:val="both"/>
      </w:pPr>
      <w:r>
        <w:t xml:space="preserve">Nadir durumlarda eserin koşuluna uygun olması için </w:t>
      </w:r>
      <w:r w:rsidRPr="00F262AD">
        <w:rPr>
          <w:b/>
        </w:rPr>
        <w:t>boyut değişikliği</w:t>
      </w:r>
      <w:r>
        <w:t xml:space="preserve"> olması halinde</w:t>
      </w:r>
      <w:r w:rsidR="00F262AD">
        <w:t xml:space="preserve"> (örneğin 16x23 yapılmış bir eserin faturası kesildikten sonra)</w:t>
      </w:r>
      <w:r>
        <w:t xml:space="preserve"> firma ekstra bir ücret talep edemez.</w:t>
      </w:r>
    </w:p>
    <w:p w:rsidR="0073703F" w:rsidRDefault="0073703F" w:rsidP="00F262AD">
      <w:pPr>
        <w:pStyle w:val="ListParagraph"/>
        <w:numPr>
          <w:ilvl w:val="0"/>
          <w:numId w:val="2"/>
        </w:numPr>
        <w:jc w:val="both"/>
      </w:pPr>
      <w:r>
        <w:t xml:space="preserve">Eserlerimizin önemli bir kısmında </w:t>
      </w:r>
      <w:r w:rsidRPr="00F262AD">
        <w:rPr>
          <w:b/>
        </w:rPr>
        <w:t>tablo, grafik ve şekil</w:t>
      </w:r>
      <w:r>
        <w:t xml:space="preserve"> yer almaktadır. Burada </w:t>
      </w:r>
      <w:r w:rsidRPr="00F262AD">
        <w:rPr>
          <w:b/>
        </w:rPr>
        <w:t>hiçbir şekilde resim olarak mizanpaja yerleştirilmelidir</w:t>
      </w:r>
      <w:r>
        <w:t xml:space="preserve">. </w:t>
      </w:r>
      <w:r w:rsidR="00F262AD">
        <w:t xml:space="preserve">Hepsi İstanbul Bilgi Üniversitesi Yayınları eserleri formatlarında yeniden çizilmelidir. </w:t>
      </w:r>
      <w:r>
        <w:t>Bunun iki nedeni vardır:</w:t>
      </w:r>
    </w:p>
    <w:p w:rsidR="0073703F" w:rsidRDefault="0073703F" w:rsidP="00F262AD">
      <w:pPr>
        <w:pStyle w:val="ListParagraph"/>
        <w:numPr>
          <w:ilvl w:val="0"/>
          <w:numId w:val="3"/>
        </w:numPr>
        <w:jc w:val="both"/>
      </w:pPr>
      <w:r>
        <w:t xml:space="preserve">Eserlerimizin </w:t>
      </w:r>
      <w:r w:rsidRPr="00F262AD">
        <w:rPr>
          <w:b/>
        </w:rPr>
        <w:t>bir birlik içinde olması</w:t>
      </w:r>
      <w:r>
        <w:t xml:space="preserve"> için İstanbul Bilgi Üniversitesi Yayınları sayfa düzenine uygun bir şekilde tablo, grafik ve şekiller yeniden dizilmelidir.</w:t>
      </w:r>
    </w:p>
    <w:p w:rsidR="0073703F" w:rsidRDefault="009D2D6D" w:rsidP="00F262AD">
      <w:pPr>
        <w:pStyle w:val="ListParagraph"/>
        <w:numPr>
          <w:ilvl w:val="0"/>
          <w:numId w:val="3"/>
        </w:numPr>
        <w:jc w:val="both"/>
      </w:pPr>
      <w:r>
        <w:t xml:space="preserve">Akademik yayıncılık güncelleme gerektirdiği için bir sonraki baskılarda müdahale edebilme ihtimali yüzünden tablo, grafik ve şekiller </w:t>
      </w:r>
      <w:r w:rsidRPr="00F262AD">
        <w:rPr>
          <w:b/>
        </w:rPr>
        <w:t>müdahale edilebilir</w:t>
      </w:r>
      <w:r>
        <w:t xml:space="preserve"> formatta olmalıdır.</w:t>
      </w:r>
    </w:p>
    <w:p w:rsidR="009D2D6D" w:rsidRDefault="00F262AD" w:rsidP="00F262AD">
      <w:pPr>
        <w:pStyle w:val="ListParagraph"/>
        <w:numPr>
          <w:ilvl w:val="0"/>
          <w:numId w:val="2"/>
        </w:numPr>
        <w:jc w:val="both"/>
      </w:pPr>
      <w:r>
        <w:rPr>
          <w:b/>
        </w:rPr>
        <w:t>Haritalar</w:t>
      </w:r>
      <w:r w:rsidR="009D2D6D">
        <w:t xml:space="preserve">, münferit bir durum olmadığı sürece, </w:t>
      </w:r>
      <w:r w:rsidR="009D2D6D" w:rsidRPr="00F262AD">
        <w:rPr>
          <w:b/>
        </w:rPr>
        <w:t>yeniden çizilmelidir</w:t>
      </w:r>
      <w:r w:rsidR="009D2D6D">
        <w:t>. Bir üstteki maddede yer alan sebepler geçerlidir.</w:t>
      </w:r>
    </w:p>
    <w:p w:rsidR="008641D1" w:rsidRDefault="008641D1" w:rsidP="00F262AD">
      <w:pPr>
        <w:pStyle w:val="ListParagraph"/>
        <w:numPr>
          <w:ilvl w:val="0"/>
          <w:numId w:val="2"/>
        </w:numPr>
        <w:jc w:val="both"/>
      </w:pPr>
      <w:r>
        <w:t xml:space="preserve">Bazı eserlerde yayından sonra kitaba dair </w:t>
      </w:r>
      <w:r w:rsidRPr="00F262AD">
        <w:rPr>
          <w:b/>
        </w:rPr>
        <w:t>banner, flyer, mailing</w:t>
      </w:r>
      <w:r>
        <w:t xml:space="preserve"> gibi</w:t>
      </w:r>
      <w:r w:rsidR="00B34973">
        <w:t xml:space="preserve"> eseri ilgilendiren işlerde firma ekstra ücret talep edemez.</w:t>
      </w:r>
    </w:p>
    <w:p w:rsidR="00B34973" w:rsidRDefault="00B34973" w:rsidP="00F262AD">
      <w:pPr>
        <w:pStyle w:val="ListParagraph"/>
        <w:numPr>
          <w:ilvl w:val="0"/>
          <w:numId w:val="2"/>
        </w:numPr>
        <w:jc w:val="both"/>
      </w:pPr>
      <w:r w:rsidRPr="00F262AD">
        <w:rPr>
          <w:b/>
        </w:rPr>
        <w:t>OCR</w:t>
      </w:r>
      <w:r>
        <w:t xml:space="preserve"> gerektiren durumlarda firma bunu ayrıca faturalandırabilir. OCR yapılan eserin okunması, OCR’den gelen teknik hataların tamamen giderilmesi gerekmektedir.</w:t>
      </w:r>
    </w:p>
    <w:p w:rsidR="00B34973" w:rsidRDefault="00171156" w:rsidP="00F262AD">
      <w:pPr>
        <w:pStyle w:val="ListParagraph"/>
        <w:numPr>
          <w:ilvl w:val="0"/>
          <w:numId w:val="2"/>
        </w:numPr>
        <w:jc w:val="both"/>
      </w:pPr>
      <w:r w:rsidRPr="00F262AD">
        <w:rPr>
          <w:b/>
        </w:rPr>
        <w:t>Tekrar baskılarda</w:t>
      </w:r>
      <w:r>
        <w:t xml:space="preserve"> </w:t>
      </w:r>
      <w:r w:rsidRPr="00F262AD">
        <w:rPr>
          <w:b/>
        </w:rPr>
        <w:t>sayfa başına yapılacak düzelti faturalandırılabilir</w:t>
      </w:r>
      <w:r>
        <w:t xml:space="preserve">. Ancak düzelti olmayan eserlerde </w:t>
      </w:r>
      <w:r w:rsidRPr="00F262AD">
        <w:rPr>
          <w:b/>
        </w:rPr>
        <w:t>künye ve biyografi</w:t>
      </w:r>
      <w:r>
        <w:t xml:space="preserve"> gibi her baskıda güncellenen sayfalar için ekstra ücret talep edilemez.</w:t>
      </w:r>
    </w:p>
    <w:p w:rsidR="00171156" w:rsidRDefault="00171156" w:rsidP="00F262AD">
      <w:pPr>
        <w:pStyle w:val="ListParagraph"/>
        <w:numPr>
          <w:ilvl w:val="0"/>
          <w:numId w:val="2"/>
        </w:numPr>
        <w:jc w:val="both"/>
      </w:pPr>
      <w:r>
        <w:t>Fuar stant tasarımları ve diğer malzemelerden (bez çanta, afiş, vs.) sorumludur. Bunları ayrıca faturalandırabilir.</w:t>
      </w:r>
    </w:p>
    <w:p w:rsidR="009D2D6D" w:rsidRPr="00F4075E" w:rsidRDefault="009D2D6D" w:rsidP="00F262AD">
      <w:pPr>
        <w:jc w:val="both"/>
        <w:rPr>
          <w:b/>
        </w:rPr>
      </w:pPr>
      <w:r w:rsidRPr="00F4075E">
        <w:rPr>
          <w:b/>
        </w:rPr>
        <w:t>DİĞER ŞARTLAR</w:t>
      </w:r>
    </w:p>
    <w:p w:rsidR="00F4075E" w:rsidRDefault="00F4075E" w:rsidP="00F4075E">
      <w:pPr>
        <w:jc w:val="both"/>
      </w:pPr>
      <w:r>
        <w:t xml:space="preserve">Değerlendirme %50 </w:t>
      </w:r>
      <w:proofErr w:type="spellStart"/>
      <w:r>
        <w:t>Fiiyat</w:t>
      </w:r>
      <w:proofErr w:type="spellEnd"/>
      <w:r>
        <w:t xml:space="preserve">, %50 fiyat dışı </w:t>
      </w:r>
      <w:proofErr w:type="gramStart"/>
      <w:r>
        <w:t>kriterler</w:t>
      </w:r>
      <w:proofErr w:type="gramEnd"/>
      <w:r>
        <w:t xml:space="preserve"> esas alınarak yapılacaktır. Aşağıdaki maddelerde fiyat dışı etkileri görebilirsiniz. </w:t>
      </w:r>
    </w:p>
    <w:p w:rsidR="00F4075E" w:rsidRPr="00F4075E" w:rsidRDefault="009D2D6D" w:rsidP="00F4075E">
      <w:pPr>
        <w:pStyle w:val="ListParagraph"/>
        <w:numPr>
          <w:ilvl w:val="0"/>
          <w:numId w:val="5"/>
        </w:numPr>
        <w:jc w:val="both"/>
        <w:rPr>
          <w:b/>
        </w:rPr>
      </w:pPr>
      <w:r w:rsidRPr="00F4075E">
        <w:rPr>
          <w:b/>
        </w:rPr>
        <w:t xml:space="preserve">İhaleye katılan firmalar daha önce </w:t>
      </w:r>
      <w:r w:rsidR="007C39B2" w:rsidRPr="00F4075E">
        <w:rPr>
          <w:b/>
        </w:rPr>
        <w:t xml:space="preserve">dizgi, </w:t>
      </w:r>
      <w:proofErr w:type="gramStart"/>
      <w:r w:rsidR="007C39B2" w:rsidRPr="00F4075E">
        <w:rPr>
          <w:b/>
        </w:rPr>
        <w:t>mizanpaj</w:t>
      </w:r>
      <w:proofErr w:type="gramEnd"/>
      <w:r w:rsidR="007C39B2" w:rsidRPr="00F4075E">
        <w:rPr>
          <w:b/>
        </w:rPr>
        <w:t>, uygulama</w:t>
      </w:r>
      <w:r w:rsidRPr="00F4075E">
        <w:rPr>
          <w:b/>
        </w:rPr>
        <w:t xml:space="preserve"> yaptığı 10 adet kitabı tarafımıza ulaştırması gerekmektedir. Bu eserler, teknik detaylarda belirtildiği gibi, mutlaka dipnotlu olmalıdır. Kitaplardan bir kısmında grafik, tablo, şekil, harita ve resim olması gerekmektedir.</w:t>
      </w:r>
      <w:r w:rsidR="00F4075E" w:rsidRPr="00F4075E">
        <w:rPr>
          <w:b/>
        </w:rPr>
        <w:t xml:space="preserve"> </w:t>
      </w:r>
    </w:p>
    <w:p w:rsidR="00F4075E" w:rsidRDefault="00F4075E" w:rsidP="00F4075E">
      <w:pPr>
        <w:pStyle w:val="ListParagraph"/>
        <w:jc w:val="both"/>
      </w:pPr>
      <w:r>
        <w:t xml:space="preserve">*İhaleye etkisi %10’dur.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Yayınevi tarafından değerlendirilecektir.</w:t>
      </w:r>
    </w:p>
    <w:p w:rsidR="00F4075E" w:rsidRDefault="00F4075E" w:rsidP="00F4075E">
      <w:pPr>
        <w:pStyle w:val="ListParagraph"/>
        <w:jc w:val="both"/>
      </w:pPr>
    </w:p>
    <w:p w:rsidR="009D2D6D" w:rsidRPr="00F4075E" w:rsidRDefault="009D2D6D" w:rsidP="00F262AD">
      <w:pPr>
        <w:pStyle w:val="ListParagraph"/>
        <w:numPr>
          <w:ilvl w:val="0"/>
          <w:numId w:val="2"/>
        </w:numPr>
        <w:jc w:val="both"/>
        <w:rPr>
          <w:b/>
        </w:rPr>
      </w:pPr>
      <w:r w:rsidRPr="00F4075E">
        <w:rPr>
          <w:b/>
        </w:rPr>
        <w:t>İhaleye katılan firmalar daha önce çalıştığı yayınevlerinden referans alması değerlendirmeyi mümkün kılacaktır. Bu yayınevleri ile en az 1 yıl çalışmış ve/veya en az 10 kitabını hazırlamış olmalıdır.</w:t>
      </w:r>
    </w:p>
    <w:p w:rsidR="00F4075E" w:rsidRDefault="00F4075E" w:rsidP="00F4075E">
      <w:pPr>
        <w:pStyle w:val="ListParagraph"/>
        <w:jc w:val="both"/>
      </w:pPr>
      <w:r>
        <w:t xml:space="preserve">*İhaleye etkisi %8’dir.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Çalışmış olmak 8 Puan / çalışmamış olmak 0 Puan</w:t>
      </w:r>
    </w:p>
    <w:p w:rsidR="00F4075E" w:rsidRDefault="00F4075E" w:rsidP="00F4075E">
      <w:pPr>
        <w:pStyle w:val="ListParagraph"/>
        <w:jc w:val="both"/>
      </w:pPr>
    </w:p>
    <w:p w:rsidR="00F4075E" w:rsidRPr="00F4075E" w:rsidRDefault="008641D1" w:rsidP="00F4075E">
      <w:pPr>
        <w:pStyle w:val="ListParagraph"/>
        <w:numPr>
          <w:ilvl w:val="0"/>
          <w:numId w:val="2"/>
        </w:numPr>
        <w:jc w:val="both"/>
        <w:rPr>
          <w:b/>
        </w:rPr>
      </w:pPr>
      <w:r w:rsidRPr="00F4075E">
        <w:rPr>
          <w:b/>
        </w:rPr>
        <w:t>İhaleye katılan firma İstanbul içinde yer almalıdır. Yayınevinin firmayla bir arada çalışmasını gerektiren zamanlar ve matbaa takipleri nedeniyle bu bazı zamanlarda elzem olmaktadır.</w:t>
      </w:r>
      <w:r w:rsidR="00F4075E" w:rsidRPr="00F4075E">
        <w:rPr>
          <w:b/>
        </w:rPr>
        <w:t xml:space="preserve"> Kuştepe Kampüsüne olan uzaklık. </w:t>
      </w:r>
    </w:p>
    <w:p w:rsidR="00F4075E" w:rsidRDefault="00F4075E" w:rsidP="00F4075E">
      <w:pPr>
        <w:pStyle w:val="ListParagraph"/>
        <w:jc w:val="both"/>
      </w:pPr>
      <w:r>
        <w:t xml:space="preserve">*İhaleye etkisi %10’dir.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8 km aşağısı 10 puan / 9-16 km arası 8 Puan / 17 -22 km arası 6 Puan / 23 - 26 km arası 3 Puan / 27 km ve üzeri 0 Puan</w:t>
      </w:r>
    </w:p>
    <w:p w:rsidR="00F4075E" w:rsidRPr="00B95B2D" w:rsidRDefault="00F4075E" w:rsidP="00F4075E">
      <w:pPr>
        <w:pStyle w:val="ListParagraph"/>
        <w:numPr>
          <w:ilvl w:val="0"/>
          <w:numId w:val="2"/>
        </w:numPr>
        <w:jc w:val="both"/>
        <w:rPr>
          <w:b/>
        </w:rPr>
      </w:pPr>
      <w:r w:rsidRPr="00B95B2D">
        <w:rPr>
          <w:b/>
        </w:rPr>
        <w:lastRenderedPageBreak/>
        <w:t xml:space="preserve">İhaleye katılan firmaların başka dillerde uygulama yapabilme </w:t>
      </w:r>
      <w:proofErr w:type="gramStart"/>
      <w:r w:rsidRPr="00B95B2D">
        <w:rPr>
          <w:b/>
        </w:rPr>
        <w:t>imkanına</w:t>
      </w:r>
      <w:proofErr w:type="gramEnd"/>
      <w:r w:rsidRPr="00B95B2D">
        <w:rPr>
          <w:b/>
        </w:rPr>
        <w:t xml:space="preserve"> bakılacaktır. </w:t>
      </w:r>
    </w:p>
    <w:p w:rsidR="00F4075E" w:rsidRDefault="00F4075E" w:rsidP="00F4075E">
      <w:pPr>
        <w:pStyle w:val="ListParagraph"/>
        <w:jc w:val="both"/>
      </w:pPr>
      <w:r>
        <w:t xml:space="preserve">*İhaleye etkisi %7’dir.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Varsa 7 puan / yoksa 0 puan</w:t>
      </w:r>
    </w:p>
    <w:p w:rsidR="00F4075E" w:rsidRDefault="00F4075E" w:rsidP="00F4075E">
      <w:pPr>
        <w:pStyle w:val="ListParagraph"/>
        <w:jc w:val="both"/>
      </w:pPr>
    </w:p>
    <w:p w:rsidR="00F4075E" w:rsidRPr="00B95B2D" w:rsidRDefault="00F4075E" w:rsidP="00F4075E">
      <w:pPr>
        <w:pStyle w:val="ListParagraph"/>
        <w:numPr>
          <w:ilvl w:val="0"/>
          <w:numId w:val="2"/>
        </w:numPr>
        <w:jc w:val="both"/>
        <w:rPr>
          <w:b/>
        </w:rPr>
      </w:pPr>
      <w:r w:rsidRPr="00B95B2D">
        <w:rPr>
          <w:b/>
        </w:rPr>
        <w:t xml:space="preserve">İhaleye katılan firmaların gerekli programlara sahiplik ve yetkinliğine bakılacaktır: </w:t>
      </w:r>
      <w:proofErr w:type="spellStart"/>
      <w:r w:rsidRPr="00B95B2D">
        <w:rPr>
          <w:b/>
        </w:rPr>
        <w:t>Quark</w:t>
      </w:r>
      <w:proofErr w:type="spellEnd"/>
      <w:r w:rsidRPr="00B95B2D">
        <w:rPr>
          <w:b/>
        </w:rPr>
        <w:t xml:space="preserve"> Express, </w:t>
      </w:r>
      <w:proofErr w:type="spellStart"/>
      <w:r w:rsidRPr="00B95B2D">
        <w:rPr>
          <w:b/>
        </w:rPr>
        <w:t>Freehand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Indesign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Photoshop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Illustrator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Enfocus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Pitstop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Fontlab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Encore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Adobe</w:t>
      </w:r>
      <w:proofErr w:type="spellEnd"/>
      <w:r w:rsidRPr="00B95B2D">
        <w:rPr>
          <w:b/>
        </w:rPr>
        <w:t xml:space="preserve"> </w:t>
      </w:r>
      <w:proofErr w:type="spellStart"/>
      <w:r w:rsidRPr="00B95B2D">
        <w:rPr>
          <w:b/>
        </w:rPr>
        <w:t>Premier</w:t>
      </w:r>
      <w:proofErr w:type="spellEnd"/>
      <w:r w:rsidRPr="00B95B2D">
        <w:rPr>
          <w:b/>
        </w:rPr>
        <w:t xml:space="preserve">, </w:t>
      </w:r>
      <w:proofErr w:type="spellStart"/>
      <w:r w:rsidRPr="00B95B2D">
        <w:rPr>
          <w:b/>
        </w:rPr>
        <w:t>Mathtype</w:t>
      </w:r>
      <w:proofErr w:type="spellEnd"/>
      <w:r w:rsidRPr="00B95B2D">
        <w:rPr>
          <w:b/>
        </w:rPr>
        <w:t xml:space="preserve"> (ya da </w:t>
      </w:r>
      <w:proofErr w:type="spellStart"/>
      <w:r w:rsidRPr="00B95B2D">
        <w:rPr>
          <w:b/>
        </w:rPr>
        <w:t>MathMagic</w:t>
      </w:r>
      <w:proofErr w:type="spellEnd"/>
      <w:r w:rsidRPr="00B95B2D">
        <w:rPr>
          <w:b/>
        </w:rPr>
        <w:t xml:space="preserve">) </w:t>
      </w:r>
    </w:p>
    <w:p w:rsidR="00F4075E" w:rsidRDefault="00F4075E" w:rsidP="00F4075E">
      <w:pPr>
        <w:pStyle w:val="ListParagraph"/>
        <w:jc w:val="both"/>
      </w:pPr>
      <w:r>
        <w:t xml:space="preserve">*İhaleye etkisi %10’dir.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Her bir program 1 puan değerindedir.</w:t>
      </w:r>
    </w:p>
    <w:p w:rsidR="00F4075E" w:rsidRDefault="00F4075E" w:rsidP="00F4075E">
      <w:pPr>
        <w:pStyle w:val="ListParagraph"/>
        <w:jc w:val="both"/>
      </w:pPr>
    </w:p>
    <w:p w:rsidR="004F08BA" w:rsidRPr="00B95B2D" w:rsidRDefault="004F08BA" w:rsidP="00F262AD">
      <w:pPr>
        <w:pStyle w:val="ListParagraph"/>
        <w:numPr>
          <w:ilvl w:val="0"/>
          <w:numId w:val="2"/>
        </w:numPr>
        <w:jc w:val="both"/>
        <w:rPr>
          <w:b/>
        </w:rPr>
      </w:pPr>
      <w:r w:rsidRPr="00B95B2D">
        <w:rPr>
          <w:b/>
        </w:rPr>
        <w:t>İhaleyi alan firmayla yapılacak anlaşma koşulları arasında ilk iki ay deneme süresi olmalıdır.</w:t>
      </w:r>
    </w:p>
    <w:p w:rsidR="00F4075E" w:rsidRDefault="00F4075E" w:rsidP="00F4075E">
      <w:pPr>
        <w:pStyle w:val="ListParagraph"/>
        <w:jc w:val="both"/>
      </w:pPr>
      <w:r>
        <w:t xml:space="preserve">*İhaleye etkisi %5’dir. </w:t>
      </w:r>
    </w:p>
    <w:p w:rsidR="00F4075E" w:rsidRDefault="00F4075E" w:rsidP="00F4075E">
      <w:pPr>
        <w:pStyle w:val="ListParagraph"/>
        <w:jc w:val="both"/>
      </w:pPr>
      <w:r>
        <w:t>*</w:t>
      </w:r>
      <w:r w:rsidRPr="00F4075E">
        <w:t>Deneme süresinin olması 5 puan / Deneme süresinin olmaması 0 Puan</w:t>
      </w:r>
    </w:p>
    <w:p w:rsidR="00B95B2D" w:rsidRDefault="00B95B2D" w:rsidP="00B95B2D">
      <w:pPr>
        <w:ind w:left="720"/>
        <w:jc w:val="both"/>
      </w:pPr>
    </w:p>
    <w:p w:rsidR="00B95B2D" w:rsidRDefault="00B95B2D" w:rsidP="00B95B2D">
      <w:pPr>
        <w:ind w:left="720"/>
        <w:jc w:val="both"/>
      </w:pPr>
      <w:r>
        <w:t>Aşağıdaki boşluk alanları 1.Madde haricinde doldurunuz;</w:t>
      </w:r>
    </w:p>
    <w:tbl>
      <w:tblPr>
        <w:tblW w:w="7760" w:type="dxa"/>
        <w:tblInd w:w="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720"/>
        <w:gridCol w:w="820"/>
        <w:gridCol w:w="820"/>
      </w:tblGrid>
      <w:tr w:rsidR="00B95B2D" w:rsidRPr="00B95B2D" w:rsidTr="00B95B2D">
        <w:trPr>
          <w:trHeight w:val="61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#</w:t>
            </w:r>
          </w:p>
        </w:tc>
        <w:tc>
          <w:tcPr>
            <w:tcW w:w="5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Kriter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  <w:t>Birim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  <w:t>FİRMA</w:t>
            </w:r>
          </w:p>
        </w:tc>
      </w:tr>
      <w:tr w:rsidR="00B95B2D" w:rsidRPr="00B95B2D" w:rsidTr="00B95B2D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tr-TR"/>
              </w:rPr>
              <w:t>#</w:t>
            </w:r>
          </w:p>
        </w:tc>
      </w:tr>
      <w:tr w:rsidR="00B95B2D" w:rsidRPr="00B95B2D" w:rsidTr="00B95B2D">
        <w:trPr>
          <w:trHeight w:val="6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Dizgi ve Mizanpaj Uygulaması (dizgi, </w:t>
            </w:r>
            <w:proofErr w:type="gram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mizanpaj</w:t>
            </w:r>
            <w:proofErr w:type="gram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, uygulama, tashih işleme)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</w:tr>
      <w:tr w:rsidR="00B95B2D" w:rsidRPr="00B95B2D" w:rsidTr="00B95B2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Yayınevi ile çalışmış olmak (En az 1 yıl ve 10 kitap)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B95B2D" w:rsidRPr="00B95B2D" w:rsidTr="00B95B2D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İhaleye katılan firmaların Kuştepe Kampüsü'ne olan uzaklığı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Km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B95B2D" w:rsidRPr="00B95B2D" w:rsidTr="00B95B2D">
        <w:trPr>
          <w:trHeight w:val="9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5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Başka dillerde (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örn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İngilizce, Almanca) ve başka alfabelerde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örn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Arap Alfabesi, Japon Alfabesi) uygulama yapabilme </w:t>
            </w:r>
            <w:proofErr w:type="gram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imkanı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B95B2D" w:rsidRPr="00B95B2D" w:rsidTr="00B95B2D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Gerekli programlara sahiplik ve yetkinlik: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Quark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Express,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Freehand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Indesign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Photoshop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Illustrator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Enfocus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Pitstop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Fontlab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Encore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Adobe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Premier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Mathtype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(ya da </w:t>
            </w:r>
            <w:proofErr w:type="spellStart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MathMagic</w:t>
            </w:r>
            <w:proofErr w:type="spellEnd"/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  <w:tr w:rsidR="00B95B2D" w:rsidRPr="00B95B2D" w:rsidTr="00B95B2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lang w:eastAsia="tr-TR"/>
              </w:rPr>
              <w:t>2 Ay deneme süresinin olup olmaması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B2D" w:rsidRPr="00B95B2D" w:rsidRDefault="00B95B2D" w:rsidP="00B95B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</w:pPr>
            <w:r w:rsidRPr="00B95B2D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tr-TR"/>
              </w:rPr>
              <w:t> </w:t>
            </w:r>
          </w:p>
        </w:tc>
      </w:tr>
    </w:tbl>
    <w:p w:rsidR="00B95B2D" w:rsidRDefault="00B95B2D" w:rsidP="00F262AD">
      <w:pPr>
        <w:jc w:val="both"/>
      </w:pPr>
    </w:p>
    <w:p w:rsidR="00B95B2D" w:rsidRDefault="00B95B2D" w:rsidP="00F262AD">
      <w:pPr>
        <w:jc w:val="both"/>
      </w:pPr>
    </w:p>
    <w:p w:rsidR="00B95B2D" w:rsidRDefault="00B95B2D" w:rsidP="00F262AD">
      <w:pPr>
        <w:jc w:val="both"/>
      </w:pPr>
    </w:p>
    <w:p w:rsidR="00B95B2D" w:rsidRDefault="00B95B2D" w:rsidP="00F262AD">
      <w:pPr>
        <w:jc w:val="both"/>
      </w:pPr>
    </w:p>
    <w:p w:rsidR="00B95B2D" w:rsidRPr="00B95B2D" w:rsidRDefault="00B95B2D" w:rsidP="00F262AD">
      <w:pPr>
        <w:jc w:val="both"/>
        <w:rPr>
          <w:b/>
        </w:rPr>
      </w:pPr>
      <w:r>
        <w:rPr>
          <w:b/>
        </w:rPr>
        <w:t xml:space="preserve">           </w:t>
      </w:r>
      <w:r w:rsidRPr="00B95B2D">
        <w:rPr>
          <w:b/>
        </w:rPr>
        <w:t>İLGİLİ BİRİM</w:t>
      </w:r>
    </w:p>
    <w:p w:rsidR="00B95B2D" w:rsidRDefault="00B95B2D" w:rsidP="00F262AD">
      <w:pPr>
        <w:jc w:val="both"/>
      </w:pPr>
      <w:r>
        <w:t xml:space="preserve">            Cem Tüzün</w:t>
      </w:r>
    </w:p>
    <w:p w:rsidR="00B95B2D" w:rsidRDefault="00B95B2D" w:rsidP="00F262AD">
      <w:pPr>
        <w:jc w:val="both"/>
      </w:pPr>
      <w:r>
        <w:t>Yayınevi İdari Koordinatörü</w:t>
      </w:r>
    </w:p>
    <w:sectPr w:rsidR="00B95B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20E"/>
    <w:multiLevelType w:val="hybridMultilevel"/>
    <w:tmpl w:val="465219C4"/>
    <w:lvl w:ilvl="0" w:tplc="2DEAE8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053190"/>
    <w:multiLevelType w:val="hybridMultilevel"/>
    <w:tmpl w:val="5A70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08D"/>
    <w:multiLevelType w:val="hybridMultilevel"/>
    <w:tmpl w:val="6CF2FE18"/>
    <w:lvl w:ilvl="0" w:tplc="35FA48B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DB4425"/>
    <w:multiLevelType w:val="hybridMultilevel"/>
    <w:tmpl w:val="FCAE57A0"/>
    <w:lvl w:ilvl="0" w:tplc="56E61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37B"/>
    <w:multiLevelType w:val="hybridMultilevel"/>
    <w:tmpl w:val="08B668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3F"/>
    <w:rsid w:val="000F24BD"/>
    <w:rsid w:val="00171156"/>
    <w:rsid w:val="002128D6"/>
    <w:rsid w:val="00464952"/>
    <w:rsid w:val="004F08BA"/>
    <w:rsid w:val="006D4E5E"/>
    <w:rsid w:val="0073703F"/>
    <w:rsid w:val="00752AB6"/>
    <w:rsid w:val="007C39B2"/>
    <w:rsid w:val="00815461"/>
    <w:rsid w:val="008641D1"/>
    <w:rsid w:val="008C5C0B"/>
    <w:rsid w:val="008E2035"/>
    <w:rsid w:val="009D2D6D"/>
    <w:rsid w:val="00A37672"/>
    <w:rsid w:val="00B34973"/>
    <w:rsid w:val="00B7017D"/>
    <w:rsid w:val="00B95B2D"/>
    <w:rsid w:val="00CD2FE0"/>
    <w:rsid w:val="00F262AD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BABE"/>
  <w15:chartTrackingRefBased/>
  <w15:docId w15:val="{553E1557-E2B5-4CFC-AFF6-5E394112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Tuzun</dc:creator>
  <cp:keywords/>
  <dc:description/>
  <cp:lastModifiedBy>Yalcin Topak</cp:lastModifiedBy>
  <cp:revision>4</cp:revision>
  <dcterms:created xsi:type="dcterms:W3CDTF">2019-01-14T12:01:00Z</dcterms:created>
  <dcterms:modified xsi:type="dcterms:W3CDTF">2019-01-17T06:05:00Z</dcterms:modified>
</cp:coreProperties>
</file>